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BB" w:rsidRPr="007C2022" w:rsidRDefault="00303636" w:rsidP="00DF4867">
      <w:pPr>
        <w:spacing w:line="240" w:lineRule="exact"/>
        <w:rPr>
          <w:color w:val="5F497A" w:themeColor="accent4" w:themeShade="BF"/>
        </w:rPr>
      </w:pPr>
      <w:r w:rsidRPr="00303636">
        <w:rPr>
          <w:rFonts w:ascii="Arial" w:hAnsi="Arial" w:cs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8.5pt;height:23.25pt">
            <v:shadow color="#868686"/>
            <v:textpath style="font-family:&quot;微軟正黑體&quot;;font-size:18pt;v-text-reverse:t;v-text-kern:t" trim="t" fitpath="t" string="王者之聲:宣戰時刻"/>
          </v:shape>
        </w:pict>
      </w:r>
      <w:r>
        <w:rPr>
          <w:noProof/>
          <w:color w:val="5F497A" w:themeColor="accent4" w:themeShade="BF"/>
        </w:rPr>
        <w:pict>
          <v:group id="_x0000_s1034" style="position:absolute;margin-left:-73.5pt;margin-top:-35.25pt;width:544.25pt;height:177pt;z-index:251666432;mso-position-horizontal-relative:text;mso-position-vertical-relative:text" coordorigin="348,465" coordsize="10885,35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48;top:465;width:7545;height:3180;mso-width-relative:margin;mso-height-relative:margin" filled="f" stroked="f">
              <v:textbox style="mso-next-textbox:#_x0000_s1032">
                <w:txbxContent>
                  <w:p w:rsidR="00D633D4" w:rsidRDefault="004E1994">
                    <w:r>
                      <w:rPr>
                        <w:noProof/>
                      </w:rPr>
                      <w:drawing>
                        <wp:inline distT="0" distB="0" distL="0" distR="0">
                          <wp:extent cx="4324350" cy="1622645"/>
                          <wp:effectExtent l="19050" t="19050" r="19050" b="15655"/>
                          <wp:docPr id="2" name="圖片 2" descr="D:\joy\PICTURE\作品區\週報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joy\PICTURE\作品區\週報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28970" cy="1624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7030A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6" type="#_x0000_t202" style="position:absolute;left:7236;top:2561;width:3997;height:1444;mso-height-percent:200;mso-height-percent:200;mso-width-relative:margin;mso-height-relative:margin" fillcolor="white [3201]" strokecolor="#8064a2 [3207]" strokeweight="1pt">
              <v:stroke dashstyle="dash"/>
              <v:shadow color="#868686"/>
              <v:textbox style="mso-next-textbox:#_x0000_s1026;mso-fit-shape-to-text:t">
                <w:txbxContent>
                  <w:p w:rsidR="006B2145" w:rsidRPr="004E1994" w:rsidRDefault="006B2145" w:rsidP="00211868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  <w:r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發行日期：</w:t>
                    </w:r>
                    <w:r w:rsidR="0004713F"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2011.0</w:t>
                    </w:r>
                    <w:r w:rsidR="00EA7A5F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5.</w:t>
                    </w:r>
                    <w:r w:rsid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0</w:t>
                    </w:r>
                    <w:r w:rsidR="00EA7A5F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4(</w:t>
                    </w:r>
                    <w:r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三)</w:t>
                    </w:r>
                  </w:p>
                  <w:p w:rsidR="006B2145" w:rsidRPr="004E1994" w:rsidRDefault="006B2145" w:rsidP="00211868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  <w:r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發行單位：武陵高中學</w:t>
                    </w:r>
                    <w:proofErr w:type="gramStart"/>
                    <w:r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務</w:t>
                    </w:r>
                    <w:proofErr w:type="gramEnd"/>
                    <w:r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處</w:t>
                    </w:r>
                  </w:p>
                  <w:p w:rsidR="006B2145" w:rsidRPr="004E1994" w:rsidRDefault="00211868" w:rsidP="00211868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  <w:r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編輯同學：</w:t>
                    </w:r>
                    <w:proofErr w:type="gramStart"/>
                    <w:r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杜庭歡</w:t>
                    </w:r>
                    <w:proofErr w:type="gramEnd"/>
                    <w:r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.</w:t>
                    </w:r>
                    <w:r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黃鈴雅</w:t>
                    </w:r>
                    <w:r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 xml:space="preserve"> </w:t>
                    </w:r>
                    <w:r w:rsidR="006B2145"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同學</w:t>
                    </w:r>
                  </w:p>
                  <w:p w:rsidR="00211868" w:rsidRPr="00211868" w:rsidRDefault="00211868" w:rsidP="00211868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  <w:r w:rsidRPr="00211868">
                      <w:rPr>
                        <w:rFonts w:ascii="cwTeX 粗黑體" w:eastAsia="cwTeX 粗黑體" w:hAnsi="cwTeX 粗黑體" w:cs="Times New Roman" w:hint="eastAsia"/>
                        <w:color w:val="5F497A"/>
                      </w:rPr>
                      <w:t>指導老師</w:t>
                    </w:r>
                    <w:r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：</w:t>
                    </w:r>
                    <w:r w:rsidRPr="00211868">
                      <w:rPr>
                        <w:rFonts w:ascii="cwTeX 粗黑體" w:eastAsia="cwTeX 粗黑體" w:hAnsi="cwTeX 粗黑體" w:cs="Times New Roman" w:hint="eastAsia"/>
                        <w:color w:val="5F497A"/>
                      </w:rPr>
                      <w:t>沈子琪</w:t>
                    </w:r>
                    <w:r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 xml:space="preserve"> 老師</w:t>
                    </w:r>
                  </w:p>
                </w:txbxContent>
              </v:textbox>
            </v:shape>
            <v:shape id="_x0000_s1033" type="#_x0000_t202" style="position:absolute;left:7893;top:780;width:3322;height:1244;mso-width-percent:400;mso-height-percent:200;mso-width-percent:400;mso-height-percent:200;mso-width-relative:margin;mso-height-relative:margin" fillcolor="#b2a1c7 [1943]" strokecolor="#8064a2 [3207]" strokeweight="1pt">
              <v:fill color2="#8064a2 [3207]" focus="50%" type="gradient"/>
              <v:shadow on="t" type="perspective" color="#3f3151 [1607]" offset="1pt" offset2="-3pt"/>
              <v:textbox style="mso-next-textbox:#_x0000_s1033;mso-fit-shape-to-text:t">
                <w:txbxContent>
                  <w:p w:rsidR="00D633D4" w:rsidRPr="00147C61" w:rsidRDefault="009F23E7" w:rsidP="009F23E7">
                    <w:pPr>
                      <w:jc w:val="center"/>
                      <w:rPr>
                        <w:rFonts w:ascii="Broadway" w:hAnsi="Broadway"/>
                        <w:color w:val="FFFFFF" w:themeColor="background1"/>
                        <w:sz w:val="72"/>
                        <w:szCs w:val="72"/>
                      </w:rPr>
                    </w:pPr>
                    <w:r w:rsidRPr="00147C61">
                      <w:rPr>
                        <w:rFonts w:ascii="Broadway" w:hAnsi="Broadway"/>
                        <w:noProof/>
                        <w:color w:val="FFFFFF" w:themeColor="background1"/>
                        <w:sz w:val="72"/>
                        <w:szCs w:val="72"/>
                      </w:rPr>
                      <w:t>VOL.</w:t>
                    </w:r>
                    <w:r w:rsidR="00FA45EA">
                      <w:rPr>
                        <w:rFonts w:ascii="Broadway" w:hAnsi="Broadway" w:hint="eastAsia"/>
                        <w:noProof/>
                        <w:color w:val="FFFFFF" w:themeColor="background1"/>
                        <w:sz w:val="72"/>
                        <w:szCs w:val="72"/>
                      </w:rPr>
                      <w:t>12</w:t>
                    </w:r>
                  </w:p>
                </w:txbxContent>
              </v:textbox>
            </v:shape>
          </v:group>
        </w:pict>
      </w:r>
    </w:p>
    <w:p w:rsidR="000E37BB" w:rsidRPr="007C2022" w:rsidRDefault="000E37BB" w:rsidP="00DF4867">
      <w:pPr>
        <w:spacing w:line="240" w:lineRule="exact"/>
        <w:rPr>
          <w:color w:val="5F497A" w:themeColor="accent4" w:themeShade="BF"/>
        </w:rPr>
      </w:pPr>
    </w:p>
    <w:p w:rsidR="000E37BB" w:rsidRPr="007C2022" w:rsidRDefault="000E37BB" w:rsidP="00DF4867">
      <w:pPr>
        <w:spacing w:line="240" w:lineRule="exact"/>
        <w:rPr>
          <w:color w:val="5F497A" w:themeColor="accent4" w:themeShade="BF"/>
        </w:rPr>
      </w:pPr>
    </w:p>
    <w:p w:rsidR="00D633D4" w:rsidRPr="007C2022" w:rsidRDefault="00D633D4" w:rsidP="00DF4867">
      <w:pPr>
        <w:spacing w:line="240" w:lineRule="exact"/>
        <w:rPr>
          <w:color w:val="5F497A" w:themeColor="accent4" w:themeShade="BF"/>
        </w:rPr>
      </w:pPr>
    </w:p>
    <w:p w:rsidR="00034607" w:rsidRPr="007C2022" w:rsidRDefault="00034607" w:rsidP="00DF4867">
      <w:pPr>
        <w:spacing w:line="240" w:lineRule="exact"/>
        <w:rPr>
          <w:color w:val="5F497A" w:themeColor="accent4" w:themeShade="BF"/>
        </w:rPr>
      </w:pPr>
    </w:p>
    <w:p w:rsidR="000E37BB" w:rsidRPr="007C2022" w:rsidRDefault="000E37BB" w:rsidP="00DF4867">
      <w:pPr>
        <w:spacing w:line="240" w:lineRule="exact"/>
        <w:rPr>
          <w:color w:val="5F497A" w:themeColor="accent4" w:themeShade="BF"/>
        </w:rPr>
      </w:pPr>
    </w:p>
    <w:p w:rsidR="000E37BB" w:rsidRPr="007C2022" w:rsidRDefault="000E37BB" w:rsidP="00DF4867">
      <w:pPr>
        <w:spacing w:line="240" w:lineRule="exact"/>
        <w:rPr>
          <w:color w:val="5F497A" w:themeColor="accent4" w:themeShade="BF"/>
        </w:rPr>
      </w:pPr>
    </w:p>
    <w:p w:rsidR="000E37BB" w:rsidRPr="007C2022" w:rsidRDefault="000E37BB" w:rsidP="00DF4867">
      <w:pPr>
        <w:spacing w:line="240" w:lineRule="exact"/>
        <w:jc w:val="both"/>
        <w:rPr>
          <w:color w:val="5F497A" w:themeColor="accent4" w:themeShade="BF"/>
        </w:rPr>
      </w:pPr>
    </w:p>
    <w:p w:rsidR="00DF4867" w:rsidRPr="00F4409F" w:rsidRDefault="00015ADC" w:rsidP="00F4409F">
      <w:pPr>
        <w:widowControl/>
        <w:spacing w:line="240" w:lineRule="exact"/>
        <w:rPr>
          <w:color w:val="5F497A" w:themeColor="accent4" w:themeShade="BF"/>
        </w:rPr>
      </w:pPr>
      <w:r>
        <w:rPr>
          <w:rFonts w:ascii="Verdana" w:hAnsi="Verdana" w:cs="新細明體"/>
          <w:noProof/>
          <w:color w:val="5F497A" w:themeColor="accent4" w:themeShade="BF"/>
          <w:kern w:val="0"/>
          <w:sz w:val="18"/>
          <w:szCs w:val="18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1400175</wp:posOffset>
            </wp:positionV>
            <wp:extent cx="2619375" cy="1457325"/>
            <wp:effectExtent l="19050" t="0" r="9525" b="0"/>
            <wp:wrapSquare wrapText="bothSides"/>
            <wp:docPr id="11" name="圖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Verdana" w:hAnsi="Verdana" w:cs="新細明體"/>
          <w:noProof/>
          <w:color w:val="5F497A" w:themeColor="accent4" w:themeShade="BF"/>
          <w:kern w:val="0"/>
          <w:sz w:val="18"/>
          <w:szCs w:val="18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2924175</wp:posOffset>
            </wp:positionV>
            <wp:extent cx="2510155" cy="1495425"/>
            <wp:effectExtent l="19050" t="0" r="4445" b="0"/>
            <wp:wrapSquare wrapText="bothSides"/>
            <wp:docPr id="9" name="圖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Verdana" w:hAnsi="Verdana" w:cs="新細明體"/>
          <w:noProof/>
          <w:color w:val="5F497A" w:themeColor="accent4" w:themeShade="BF"/>
          <w:kern w:val="0"/>
          <w:sz w:val="18"/>
          <w:szCs w:val="18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2209800</wp:posOffset>
            </wp:positionV>
            <wp:extent cx="2209800" cy="1676400"/>
            <wp:effectExtent l="19050" t="0" r="0" b="0"/>
            <wp:wrapSquare wrapText="bothSides"/>
            <wp:docPr id="8" name="圖片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rcRect l="14469" r="10933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Verdana" w:hAnsi="Verdana" w:cs="新細明體"/>
          <w:noProof/>
          <w:color w:val="5F497A" w:themeColor="accent4" w:themeShade="BF"/>
          <w:kern w:val="0"/>
          <w:sz w:val="18"/>
          <w:szCs w:val="18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1400175</wp:posOffset>
            </wp:positionV>
            <wp:extent cx="2562225" cy="1457325"/>
            <wp:effectExtent l="19050" t="0" r="9525" b="0"/>
            <wp:wrapSquare wrapText="bothSides"/>
            <wp:docPr id="10" name="圖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Verdana" w:hAnsi="Verdana" w:cs="新細明體"/>
          <w:noProof/>
          <w:color w:val="5F497A" w:themeColor="accent4" w:themeShade="BF"/>
          <w:kern w:val="0"/>
          <w:sz w:val="18"/>
          <w:szCs w:val="18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2971800</wp:posOffset>
            </wp:positionV>
            <wp:extent cx="2562225" cy="1447800"/>
            <wp:effectExtent l="19050" t="0" r="9525" b="0"/>
            <wp:wrapSquare wrapText="bothSides"/>
            <wp:docPr id="12" name="圖片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04056" w:rsidRPr="00303636">
        <w:rPr>
          <w:rFonts w:ascii="Verdana" w:hAnsi="Verdana" w:cs="新細明體"/>
          <w:noProof/>
          <w:color w:val="5F497A" w:themeColor="accent4" w:themeShade="BF"/>
          <w:kern w:val="0"/>
          <w:sz w:val="18"/>
          <w:szCs w:val="18"/>
        </w:rPr>
        <w:pict>
          <v:shape id="_x0000_s1135" type="#_x0000_t202" style="position:absolute;margin-left:-46.35pt;margin-top:39pt;width:269.85pt;height:42.75pt;z-index:251778048;mso-position-horizontal-relative:text;mso-position-vertical-relative:text;mso-width-relative:margin;mso-height-relative:margin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8E7C52" w:rsidRPr="004910FE" w:rsidRDefault="00604056" w:rsidP="008E7C52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403152" w:themeColor="accent4" w:themeShade="80"/>
                      <w:sz w:val="36"/>
                      <w:szCs w:val="36"/>
                    </w:rPr>
                  </w:pPr>
                  <w:r w:rsidRPr="004910FE">
                    <w:rPr>
                      <w:rFonts w:ascii="微軟正黑體" w:eastAsia="微軟正黑體" w:hAnsi="微軟正黑體" w:hint="eastAsia"/>
                      <w:b/>
                      <w:color w:val="403152" w:themeColor="accent4" w:themeShade="80"/>
                      <w:sz w:val="36"/>
                      <w:szCs w:val="36"/>
                    </w:rPr>
                    <w:t>高二實彈射擊活動花絮</w:t>
                  </w:r>
                </w:p>
              </w:txbxContent>
            </v:textbox>
          </v:shape>
        </w:pict>
      </w:r>
      <w:r w:rsidR="002F4D75">
        <w:rPr>
          <w:noProof/>
          <w:color w:val="5F497A" w:themeColor="accent4" w:themeShade="B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in;margin-top:407.25pt;width:378pt;height:0;z-index:251677696;mso-position-horizontal-relative:text;mso-position-vertical-relative:text" o:connectortype="straight" strokecolor="#5f497a [2407]"/>
        </w:pict>
      </w:r>
      <w:r w:rsidR="002F4D75">
        <w:rPr>
          <w:noProof/>
          <w:color w:val="5F497A" w:themeColor="accent4" w:themeShade="BF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4867275</wp:posOffset>
            </wp:positionV>
            <wp:extent cx="1143000" cy="571500"/>
            <wp:effectExtent l="19050" t="19050" r="19050" b="19050"/>
            <wp:wrapSquare wrapText="bothSides"/>
            <wp:docPr id="4" name="圖片 3" descr="D:\joy\PICTURE\作品區\學務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joy\PICTURE\作品區\學務處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D75">
        <w:rPr>
          <w:noProof/>
          <w:color w:val="5F497A" w:themeColor="accent4" w:themeShade="BF"/>
        </w:rPr>
        <w:pict>
          <v:group id="_x0000_s1038" style="position:absolute;margin-left:-35.1pt;margin-top:444pt;width:494.7pt;height:2in;z-index:251676672;mso-position-horizontal-relative:text;mso-position-vertical-relative:text" coordorigin="1098,10980" coordsize="9894,2880">
            <v:shape id="_x0000_s1036" type="#_x0000_t202" style="position:absolute;left:1098;top:10980;width:4827;height:2880;mso-width-relative:margin;mso-height-relative:margin" stroked="f">
              <v:textbox style="mso-next-textbox:#_x0000_s1036">
                <w:txbxContent>
                  <w:p w:rsidR="00B20055" w:rsidRPr="00B20055" w:rsidRDefault="009869F5" w:rsidP="00B20055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  <w:r>
                      <w:rPr>
                        <w:rFonts w:ascii="cwTeX 粗黑體" w:eastAsia="cwTeX 粗黑體" w:hAnsi="cwTeX 粗黑體" w:cs="Times New Roman" w:hint="eastAsia"/>
                        <w:color w:val="5F497A"/>
                      </w:rPr>
                      <w:t>第</w:t>
                    </w:r>
                    <w:r w:rsidR="00FA45EA">
                      <w:rPr>
                        <w:rFonts w:ascii="cwTeX 粗黑體" w:eastAsia="cwTeX 粗黑體" w:hAnsi="cwTeX 粗黑體" w:cs="Times New Roman" w:hint="eastAsia"/>
                        <w:color w:val="5F497A"/>
                      </w:rPr>
                      <w:t>十一</w:t>
                    </w:r>
                    <w:proofErr w:type="gramStart"/>
                    <w:r w:rsidR="00B20055" w:rsidRPr="00B20055">
                      <w:rPr>
                        <w:rFonts w:ascii="cwTeX 粗黑體" w:eastAsia="cwTeX 粗黑體" w:hAnsi="cwTeX 粗黑體" w:cs="Times New Roman"/>
                        <w:color w:val="5F497A"/>
                      </w:rPr>
                      <w:t>週</w:t>
                    </w:r>
                    <w:proofErr w:type="gramEnd"/>
                    <w:r w:rsidR="00B20055" w:rsidRPr="00B20055">
                      <w:rPr>
                        <w:rFonts w:ascii="cwTeX 粗黑體" w:eastAsia="cwTeX 粗黑體" w:hAnsi="cwTeX 粗黑體" w:cs="Times New Roman"/>
                        <w:color w:val="5F497A"/>
                      </w:rPr>
                      <w:t>整潔競賽各年級前三名</w:t>
                    </w:r>
                    <w:r w:rsidR="00B20055" w:rsidRPr="00B20055"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  <w:t>:</w:t>
                    </w:r>
                  </w:p>
                  <w:tbl>
                    <w:tblPr>
                      <w:tblStyle w:val="-4"/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/>
                    </w:tblPr>
                    <w:tblGrid>
                      <w:gridCol w:w="1161"/>
                      <w:gridCol w:w="1161"/>
                      <w:gridCol w:w="1161"/>
                      <w:gridCol w:w="1161"/>
                    </w:tblGrid>
                    <w:tr w:rsidR="00B20055" w:rsidTr="009869F5">
                      <w:trPr>
                        <w:cnfStyle w:val="100000000000"/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100000000000"/>
                          </w:pPr>
                          <w:r>
                            <w:rPr>
                              <w:rFonts w:hint="eastAsia"/>
                            </w:rPr>
                            <w:t>高一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100000000000"/>
                          </w:pPr>
                          <w:r>
                            <w:rPr>
                              <w:rFonts w:hint="eastAsia"/>
                            </w:rPr>
                            <w:t>高二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100000000000"/>
                          </w:pPr>
                          <w:r>
                            <w:rPr>
                              <w:rFonts w:hint="eastAsia"/>
                            </w:rPr>
                            <w:t>高三</w:t>
                          </w:r>
                        </w:p>
                      </w:tc>
                    </w:tr>
                    <w:tr w:rsidR="00B20055" w:rsidTr="009869F5">
                      <w:trPr>
                        <w:cnfStyle w:val="000000100000"/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第一名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FA45EA" w:rsidP="009869F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101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FA45EA">
                            <w:rPr>
                              <w:rFonts w:hint="eastAsia"/>
                            </w:rPr>
                            <w:t>15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FA45EA">
                            <w:rPr>
                              <w:rFonts w:hint="eastAsia"/>
                            </w:rPr>
                            <w:t>20</w:t>
                          </w:r>
                        </w:p>
                      </w:tc>
                    </w:tr>
                    <w:tr w:rsidR="00B20055" w:rsidTr="009869F5">
                      <w:trPr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第二名</w:t>
                          </w:r>
                        </w:p>
                      </w:tc>
                      <w:tc>
                        <w:tcPr>
                          <w:tcW w:w="1161" w:type="dxa"/>
                          <w:vAlign w:val="center"/>
                        </w:tcPr>
                        <w:p w:rsidR="00B20055" w:rsidRDefault="00FA45EA" w:rsidP="00B20055">
                          <w:pPr>
                            <w:jc w:val="center"/>
                            <w:cnfStyle w:val="000000000000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9869F5">
                            <w:rPr>
                              <w:rFonts w:hint="eastAsia"/>
                            </w:rPr>
                            <w:t>0</w:t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</w:p>
                      </w:tc>
                      <w:tc>
                        <w:tcPr>
                          <w:tcW w:w="1161" w:type="dxa"/>
                          <w:vAlign w:val="center"/>
                        </w:tcPr>
                        <w:p w:rsidR="00B20055" w:rsidRDefault="00F66FF1" w:rsidP="00B20055">
                          <w:pPr>
                            <w:jc w:val="center"/>
                            <w:cnfStyle w:val="000000000000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FA45EA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1161" w:type="dxa"/>
                          <w:vAlign w:val="center"/>
                        </w:tcPr>
                        <w:p w:rsidR="00B20055" w:rsidRDefault="00FA45EA" w:rsidP="00B20055">
                          <w:pPr>
                            <w:jc w:val="center"/>
                            <w:cnfStyle w:val="000000000000"/>
                          </w:pPr>
                          <w:r>
                            <w:rPr>
                              <w:rFonts w:hint="eastAsia"/>
                            </w:rPr>
                            <w:t>305</w:t>
                          </w:r>
                        </w:p>
                      </w:tc>
                    </w:tr>
                    <w:tr w:rsidR="00B20055" w:rsidTr="009869F5">
                      <w:trPr>
                        <w:cnfStyle w:val="000000100000"/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第三名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FA45EA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120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FA45EA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220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A45EA" w:rsidRDefault="00FA45EA" w:rsidP="00FA45EA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301</w:t>
                          </w:r>
                        </w:p>
                      </w:tc>
                    </w:tr>
                  </w:tbl>
                  <w:p w:rsidR="00B20055" w:rsidRDefault="00B20055"/>
                </w:txbxContent>
              </v:textbox>
            </v:shape>
            <v:shape id="_x0000_s1037" type="#_x0000_t202" style="position:absolute;left:6165;top:10980;width:4827;height:2880;mso-width-relative:margin;mso-height-relative:margin" stroked="f">
              <v:textbox style="mso-next-textbox:#_x0000_s1037">
                <w:txbxContent>
                  <w:p w:rsidR="00F66FF1" w:rsidRPr="00040A0A" w:rsidRDefault="009869F5" w:rsidP="00F66FF1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  <w:r>
                      <w:rPr>
                        <w:rFonts w:ascii="cwTeX 粗黑體" w:eastAsia="cwTeX 粗黑體" w:hAnsi="cwTeX 粗黑體" w:cs="Times New Roman" w:hint="eastAsia"/>
                        <w:color w:val="5F497A"/>
                      </w:rPr>
                      <w:t>第</w:t>
                    </w:r>
                    <w:r w:rsidR="00FA45EA">
                      <w:rPr>
                        <w:rFonts w:ascii="cwTeX 粗黑體" w:eastAsia="cwTeX 粗黑體" w:hAnsi="cwTeX 粗黑體" w:cs="Times New Roman" w:hint="eastAsia"/>
                        <w:color w:val="5F497A"/>
                      </w:rPr>
                      <w:t>十一</w:t>
                    </w:r>
                    <w:proofErr w:type="gramStart"/>
                    <w:r w:rsidR="00F66FF1" w:rsidRPr="00B20055">
                      <w:rPr>
                        <w:rFonts w:ascii="cwTeX 粗黑體" w:eastAsia="cwTeX 粗黑體" w:hAnsi="cwTeX 粗黑體" w:cs="Times New Roman"/>
                        <w:color w:val="5F497A"/>
                      </w:rPr>
                      <w:t>週</w:t>
                    </w:r>
                    <w:proofErr w:type="gramEnd"/>
                    <w:r w:rsidR="00F66FF1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秩序</w:t>
                    </w:r>
                    <w:r w:rsidR="00F66FF1" w:rsidRPr="00B20055">
                      <w:rPr>
                        <w:rFonts w:ascii="cwTeX 粗黑體" w:eastAsia="cwTeX 粗黑體" w:hAnsi="cwTeX 粗黑體" w:cs="Times New Roman"/>
                        <w:color w:val="5F497A"/>
                      </w:rPr>
                      <w:t>競賽各年級前三名</w:t>
                    </w:r>
                    <w:r w:rsidR="00F66FF1" w:rsidRPr="00B20055"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  <w:t>:</w:t>
                    </w:r>
                  </w:p>
                  <w:tbl>
                    <w:tblPr>
                      <w:tblStyle w:val="-4"/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/>
                    </w:tblPr>
                    <w:tblGrid>
                      <w:gridCol w:w="1161"/>
                      <w:gridCol w:w="1161"/>
                      <w:gridCol w:w="1161"/>
                      <w:gridCol w:w="1161"/>
                    </w:tblGrid>
                    <w:tr w:rsidR="00F66FF1" w:rsidTr="00FA45EA">
                      <w:trPr>
                        <w:cnfStyle w:val="100000000000"/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  <w:cnfStyle w:val="100000000000"/>
                          </w:pPr>
                          <w:r>
                            <w:rPr>
                              <w:rFonts w:hint="eastAsia"/>
                            </w:rPr>
                            <w:t>高一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  <w:cnfStyle w:val="100000000000"/>
                          </w:pPr>
                          <w:r>
                            <w:rPr>
                              <w:rFonts w:hint="eastAsia"/>
                            </w:rPr>
                            <w:t>高二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  <w:cnfStyle w:val="100000000000"/>
                          </w:pPr>
                          <w:r>
                            <w:rPr>
                              <w:rFonts w:hint="eastAsia"/>
                            </w:rPr>
                            <w:t>高三</w:t>
                          </w:r>
                        </w:p>
                      </w:tc>
                    </w:tr>
                    <w:tr w:rsidR="00F66FF1" w:rsidTr="00FA45EA">
                      <w:trPr>
                        <w:cnfStyle w:val="000000100000"/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第一名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FA45EA">
                            <w:rPr>
                              <w:rFonts w:hint="eastAsia"/>
                            </w:rPr>
                            <w:t>10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A45EA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218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F66FF1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FA45EA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</w:tr>
                    <w:tr w:rsidR="00F66FF1" w:rsidTr="00FA45EA">
                      <w:trPr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第二名</w:t>
                          </w:r>
                        </w:p>
                      </w:tc>
                      <w:tc>
                        <w:tcPr>
                          <w:tcW w:w="1161" w:type="dxa"/>
                          <w:vAlign w:val="center"/>
                        </w:tcPr>
                        <w:p w:rsidR="00F66FF1" w:rsidRDefault="00FA45EA" w:rsidP="00B20055">
                          <w:pPr>
                            <w:jc w:val="center"/>
                            <w:cnfStyle w:val="000000000000"/>
                          </w:pPr>
                          <w:r>
                            <w:rPr>
                              <w:rFonts w:hint="eastAsia"/>
                            </w:rPr>
                            <w:t>105</w:t>
                          </w:r>
                        </w:p>
                      </w:tc>
                      <w:tc>
                        <w:tcPr>
                          <w:tcW w:w="1161" w:type="dxa"/>
                          <w:vAlign w:val="center"/>
                        </w:tcPr>
                        <w:p w:rsidR="00F66FF1" w:rsidRDefault="00F66FF1" w:rsidP="009869F5">
                          <w:pPr>
                            <w:jc w:val="center"/>
                            <w:cnfStyle w:val="000000000000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FA45EA">
                            <w:rPr>
                              <w:rFonts w:hint="eastAsia"/>
                            </w:rPr>
                            <w:t>21</w:t>
                          </w:r>
                        </w:p>
                      </w:tc>
                      <w:tc>
                        <w:tcPr>
                          <w:tcW w:w="1161" w:type="dxa"/>
                          <w:vAlign w:val="center"/>
                        </w:tcPr>
                        <w:p w:rsidR="00F66FF1" w:rsidRDefault="009869F5" w:rsidP="00B20055">
                          <w:pPr>
                            <w:jc w:val="center"/>
                            <w:cnfStyle w:val="000000000000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FA45EA">
                            <w:rPr>
                              <w:rFonts w:hint="eastAsia"/>
                            </w:rPr>
                            <w:t>17.320</w:t>
                          </w:r>
                        </w:p>
                      </w:tc>
                    </w:tr>
                    <w:tr w:rsidR="00F66FF1" w:rsidTr="00FA45EA">
                      <w:trPr>
                        <w:cnfStyle w:val="000000100000"/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第三名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A45EA" w:rsidP="00FA45EA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109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A45EA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209.220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9869F5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c>
                    </w:tr>
                  </w:tbl>
                  <w:p w:rsidR="00F66FF1" w:rsidRDefault="00F66FF1" w:rsidP="00F66FF1"/>
                </w:txbxContent>
              </v:textbox>
            </v:shape>
          </v:group>
        </w:pict>
      </w:r>
      <w:r w:rsidR="00303636">
        <w:rPr>
          <w:noProof/>
          <w:color w:val="5F497A" w:themeColor="accent4" w:themeShade="BF"/>
        </w:rPr>
        <w:pict>
          <v:shape id="_x0000_s1076" type="#_x0000_t202" style="position:absolute;margin-left:-35.1pt;margin-top:575.25pt;width:446.1pt;height:39.75pt;z-index:251710464;mso-position-horizontal-relative:text;mso-position-vertical-relative:text;mso-width-relative:margin;mso-height-relative:margin" stroked="f">
            <v:textbox style="mso-next-textbox:#_x0000_s1076">
              <w:txbxContent>
                <w:p w:rsidR="00FA45EA" w:rsidRDefault="00FA45EA" w:rsidP="00FA45EA">
                  <w:pPr>
                    <w:spacing w:line="280" w:lineRule="exact"/>
                    <w:rPr>
                      <w:rFonts w:ascii="cwTeX 粗黑體" w:eastAsia="cwTeX 粗黑體" w:hAnsi="cwTeX 粗黑體" w:cs="Times New Roman"/>
                      <w:color w:val="5F497A"/>
                    </w:rPr>
                  </w:pPr>
                  <w:r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 xml:space="preserve">1. </w:t>
                  </w:r>
                  <w:r w:rsidRPr="00FA45EA"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220班第9、10及本</w:t>
                  </w:r>
                  <w:proofErr w:type="gramStart"/>
                  <w:r w:rsidRPr="00FA45EA"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週</w:t>
                  </w:r>
                  <w:proofErr w:type="gramEnd"/>
                  <w:r w:rsidRPr="00FA45EA"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連續三</w:t>
                  </w:r>
                  <w:proofErr w:type="gramStart"/>
                  <w:r w:rsidRPr="00FA45EA"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週</w:t>
                  </w:r>
                  <w:proofErr w:type="gramEnd"/>
                  <w:r w:rsidRPr="00FA45EA"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前三名，頒發榮譽錦旗以玆獎勵。</w:t>
                  </w:r>
                </w:p>
                <w:p w:rsidR="00FA45EA" w:rsidRPr="00FA45EA" w:rsidRDefault="00FA45EA" w:rsidP="00FA45EA">
                  <w:pPr>
                    <w:spacing w:line="280" w:lineRule="exact"/>
                    <w:rPr>
                      <w:rFonts w:ascii="cwTeX 粗黑體" w:eastAsia="cwTeX 粗黑體" w:hAnsi="cwTeX 粗黑體" w:cs="Times New Roman"/>
                      <w:color w:val="5F497A"/>
                    </w:rPr>
                  </w:pPr>
                  <w:r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 xml:space="preserve">2. </w:t>
                  </w:r>
                  <w:r w:rsidRPr="00FA45EA"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311班、313班、318班本</w:t>
                  </w:r>
                  <w:proofErr w:type="gramStart"/>
                  <w:r w:rsidRPr="00FA45EA"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週</w:t>
                  </w:r>
                  <w:proofErr w:type="gramEnd"/>
                  <w:r w:rsidRPr="00FA45EA"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成績平均低於65分，</w:t>
                  </w:r>
                  <w:r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 xml:space="preserve"> </w:t>
                  </w:r>
                  <w:r w:rsidRPr="00FA45EA"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全班愛校服務乙次。</w:t>
                  </w:r>
                </w:p>
                <w:p w:rsidR="00B7134B" w:rsidRPr="00B7134B" w:rsidRDefault="00B7134B" w:rsidP="00B7134B">
                  <w:pPr>
                    <w:spacing w:line="280" w:lineRule="exact"/>
                    <w:rPr>
                      <w:rFonts w:ascii="cwTeX 粗黑體" w:eastAsia="cwTeX 粗黑體" w:hAnsi="cwTeX 粗黑體" w:cs="Times New Roman"/>
                      <w:color w:val="5F497A"/>
                    </w:rPr>
                  </w:pPr>
                </w:p>
              </w:txbxContent>
            </v:textbox>
          </v:shape>
        </w:pict>
      </w:r>
      <w:r w:rsidR="001B3BCD" w:rsidRPr="007C2022">
        <w:rPr>
          <w:rFonts w:ascii="Verdana" w:hAnsi="Verdana" w:cs="新細明體"/>
          <w:color w:val="5F497A" w:themeColor="accent4" w:themeShade="BF"/>
          <w:kern w:val="0"/>
          <w:sz w:val="18"/>
          <w:szCs w:val="18"/>
        </w:rPr>
        <w:br w:type="page"/>
      </w:r>
      <w:r w:rsidR="00DF4867" w:rsidRPr="00DF4867">
        <w:rPr>
          <w:rFonts w:ascii="微軟正黑體" w:eastAsia="微軟正黑體" w:hAnsi="微軟正黑體"/>
          <w:color w:val="000000"/>
        </w:rPr>
        <w:lastRenderedPageBreak/>
        <w:t xml:space="preserve"> </w:t>
      </w:r>
    </w:p>
    <w:p w:rsidR="00931C30" w:rsidRDefault="00510DA3" w:rsidP="00DF4867">
      <w:pPr>
        <w:widowControl/>
        <w:spacing w:line="240" w:lineRule="exact"/>
        <w:rPr>
          <w:rFonts w:ascii="華康楷書體W5" w:eastAsia="華康楷書體W5" w:hAnsi="標楷體"/>
          <w:color w:val="5F497A" w:themeColor="accent4" w:themeShade="BF"/>
        </w:rPr>
      </w:pPr>
      <w:r>
        <w:rPr>
          <w:rFonts w:ascii="華康楷書體W5" w:eastAsia="華康楷書體W5" w:hAnsi="標楷體"/>
          <w:noProof/>
          <w:color w:val="5F497A" w:themeColor="accent4" w:themeShade="BF"/>
        </w:rPr>
        <w:pict>
          <v:shape id="_x0000_s1139" type="#_x0000_t202" style="position:absolute;margin-left:-57.75pt;margin-top:88.5pt;width:345pt;height:39.75pt;z-index:251781120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765E0E" w:rsidRPr="00765E0E" w:rsidRDefault="00765E0E">
                  <w:pPr>
                    <w:rPr>
                      <w:rFonts w:ascii="微軟正黑體" w:eastAsia="微軟正黑體" w:hAnsi="微軟正黑體"/>
                      <w:sz w:val="36"/>
                      <w:szCs w:val="36"/>
                    </w:rPr>
                  </w:pP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b/>
                      <w:spacing w:val="15"/>
                      <w:kern w:val="0"/>
                      <w:sz w:val="36"/>
                      <w:szCs w:val="36"/>
                    </w:rPr>
                    <w:t>小心惹「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b/>
                      <w:spacing w:val="15"/>
                      <w:kern w:val="0"/>
                      <w:sz w:val="36"/>
                      <w:szCs w:val="36"/>
                    </w:rPr>
                    <w:t xml:space="preserve">火」上身 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b/>
                      <w:spacing w:val="15"/>
                      <w:kern w:val="0"/>
                      <w:sz w:val="36"/>
                      <w:szCs w:val="36"/>
                    </w:rPr>
                    <w:t>──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b/>
                      <w:spacing w:val="15"/>
                      <w:kern w:val="0"/>
                      <w:sz w:val="36"/>
                      <w:szCs w:val="36"/>
                    </w:rPr>
                    <w:t>尋找憤怒退燒藥</w:t>
                  </w:r>
                </w:p>
              </w:txbxContent>
            </v:textbox>
          </v:shape>
        </w:pict>
      </w:r>
      <w:r w:rsidR="00303636">
        <w:rPr>
          <w:rFonts w:ascii="華康楷書體W5" w:eastAsia="華康楷書體W5" w:hAnsi="標楷體"/>
          <w:noProof/>
          <w:color w:val="5F497A" w:themeColor="accent4" w:themeShade="BF"/>
        </w:rPr>
        <w:pict>
          <v:shape id="_x0000_s1140" type="#_x0000_t202" style="position:absolute;margin-left:-57.75pt;margin-top:138pt;width:540.75pt;height:574.5pt;z-index:251782144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財團法人董氏基金會</w:t>
                  </w:r>
                  <w:r w:rsidRPr="00765E0E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>在多年前</w:t>
                  </w:r>
                  <w:r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曾針對憤怒做過一次問卷調查，發現兩千三百多位民</w:t>
                  </w: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>眾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裡，六成民眾每週至少生氣一次，每七人當中，就有一個人承認自己天天生氣！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765E0E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>而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財團法人精神健康基金會</w:t>
                  </w:r>
                  <w:r w:rsidRPr="00765E0E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>2003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年底所完成的「精神健康指數」調查裡也發現，大約有一半的民眾，壓力稍微增加就會引爆情緒，而最令人錯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愕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的是，受訪的一千多位民眾裡，還有十九位對自己的精神健康打「零分」，足見國人的精神健康已經亮出黃燈。</w:t>
                  </w:r>
                </w:p>
                <w:p w:rsid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憤怒！生氣！就是這樣一件以為不足掛齒，卻得天天面對的人生大事！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b/>
                      <w:spacing w:val="15"/>
                      <w:kern w:val="0"/>
                      <w:szCs w:val="24"/>
                    </w:rPr>
                  </w:pPr>
                  <w:r w:rsidRPr="00765E0E">
                    <w:rPr>
                      <w:rFonts w:ascii="微軟正黑體" w:eastAsia="微軟正黑體" w:hAnsi="微軟正黑體" w:cs="新細明體" w:hint="eastAsia"/>
                      <w:b/>
                      <w:spacing w:val="15"/>
                      <w:kern w:val="0"/>
                      <w:szCs w:val="24"/>
                    </w:rPr>
                    <w:t>「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 w:hint="eastAsia"/>
                      <w:b/>
                      <w:spacing w:val="15"/>
                      <w:kern w:val="0"/>
                      <w:szCs w:val="24"/>
                    </w:rPr>
                    <w:t>憤怒」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 w:hint="eastAsia"/>
                      <w:b/>
                      <w:spacing w:val="15"/>
                      <w:kern w:val="0"/>
                      <w:szCs w:val="24"/>
                    </w:rPr>
                    <w:t>是什麼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說起憤怒，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這一個被歸在負面情緒的成員，帶來暴怒、暴力、失控，貼有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不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理性標籤，一般人避之唯恐不及。然而專家指出，生氣卻是所有情緒中最具有「能量」的一種。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電影《綠巨人》的主角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浩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克，當他發怒時，能量充塞全身肌肉與血管，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掙破衣服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，變身成為一個孔武有力、一跳數百公尺的超能力巨人，這就是憤怒。憤怒本身不完全是壞事，但如何循著憤怒的絲線，找出並化解生命中的難題，而不跟著憤怒起舞失控，卻是現代人必修的課題。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「人有七情六慾，不管是快樂、憂傷還是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憤怒，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都有如血壓一般，高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高低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低是自然，即使偶而超出正常值，只要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不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持續兩個星期以上，應該輕鬆看待，」台北市立療養院社區精神科主任湯華盛表示。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憤怒的出現就像發燒一樣，是一種內在「訊息」的傳達，甚或求救的信號。只可惜，多數人在生氣時，不僅無法察覺怒氣的來源，反而放任情緒模糊成一團混沌的火花，更在無意識中瘋狂尋找替罪羔羊。董氏基金會的憤怒調查顯示，一般人最常發脾氣的對象就是家人，特別是比自己弱勢的人。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b/>
                      <w:spacing w:val="15"/>
                      <w:kern w:val="0"/>
                      <w:szCs w:val="24"/>
                    </w:rPr>
                  </w:pPr>
                  <w:r w:rsidRPr="00765E0E">
                    <w:rPr>
                      <w:rFonts w:ascii="微軟正黑體" w:eastAsia="微軟正黑體" w:hAnsi="微軟正黑體" w:cs="新細明體"/>
                      <w:b/>
                      <w:spacing w:val="15"/>
                      <w:kern w:val="0"/>
                      <w:szCs w:val="24"/>
                    </w:rPr>
                    <w:t>被電擊的社會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765E0E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>03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年SARS爆發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期間，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面對空前的危機與不安，政府官員、醫院、病人、社區之間互相對立、叫罵。捷運車上，一位媽媽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對著扯拉口罩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的小孩子打了一巴掌：「你敢把口罩拿掉試試看！」焦慮的情緒緊繃到了極點，怒氣一觸即發，整個社會都成了一只沸騰的壓力鍋。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文明社會越是進步，無常變化的因素越多。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根據心理學家的實驗，被隨意電擊的白老鼠，原本的生理行為將大為改變，老鼠們變得急躁、睡眠時間減少，甚至互相啃咬。對應在現實上，近幾年國內經濟起伏劇烈，各行各業謀生困難，容易讓人產生隨時遭受挫折、驚恐的電擊感。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</w:p>
              </w:txbxContent>
            </v:textbox>
          </v:shape>
        </w:pict>
      </w:r>
      <w:r w:rsidR="00303636">
        <w:rPr>
          <w:rFonts w:ascii="華康楷書體W5" w:eastAsia="華康楷書體W5" w:hAnsi="標楷體"/>
          <w:noProof/>
          <w:color w:val="5F497A" w:themeColor="accent4" w:themeShade="BF"/>
        </w:rPr>
        <w:pict>
          <v:shape id="_x0000_s1138" type="#_x0000_t202" style="position:absolute;margin-left:-57.75pt;margin-top:-61.5pt;width:536.25pt;height:132pt;z-index:25177907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38">
              <w:txbxContent>
                <w:p w:rsidR="00FA45EA" w:rsidRPr="00FA45EA" w:rsidRDefault="00FA45EA" w:rsidP="00FA45EA">
                  <w:pPr>
                    <w:spacing w:line="480" w:lineRule="exact"/>
                    <w:rPr>
                      <w:rFonts w:ascii="微軟正黑體" w:eastAsia="微軟正黑體" w:hAnsi="微軟正黑體" w:cs="Times New Roman"/>
                      <w:b/>
                      <w:color w:val="5F497A" w:themeColor="accent4" w:themeShade="BF"/>
                      <w:sz w:val="40"/>
                      <w:szCs w:val="40"/>
                    </w:rPr>
                  </w:pPr>
                  <w:r w:rsidRPr="00FA45EA">
                    <w:rPr>
                      <w:rFonts w:ascii="微軟正黑體" w:eastAsia="微軟正黑體" w:hAnsi="微軟正黑體" w:cs="Times New Roman" w:hint="eastAsia"/>
                      <w:b/>
                      <w:color w:val="5F497A" w:themeColor="accent4" w:themeShade="BF"/>
                      <w:sz w:val="40"/>
                      <w:szCs w:val="40"/>
                    </w:rPr>
                    <w:t>學</w:t>
                  </w:r>
                  <w:proofErr w:type="gramStart"/>
                  <w:r w:rsidRPr="00FA45EA">
                    <w:rPr>
                      <w:rFonts w:ascii="微軟正黑體" w:eastAsia="微軟正黑體" w:hAnsi="微軟正黑體" w:cs="Times New Roman" w:hint="eastAsia"/>
                      <w:b/>
                      <w:color w:val="5F497A" w:themeColor="accent4" w:themeShade="BF"/>
                      <w:sz w:val="40"/>
                      <w:szCs w:val="40"/>
                    </w:rPr>
                    <w:t>務</w:t>
                  </w:r>
                  <w:proofErr w:type="gramEnd"/>
                  <w:r w:rsidRPr="00FA45EA">
                    <w:rPr>
                      <w:rFonts w:ascii="微軟正黑體" w:eastAsia="微軟正黑體" w:hAnsi="微軟正黑體" w:cs="Times New Roman" w:hint="eastAsia"/>
                      <w:b/>
                      <w:color w:val="5F497A" w:themeColor="accent4" w:themeShade="BF"/>
                      <w:sz w:val="40"/>
                      <w:szCs w:val="40"/>
                    </w:rPr>
                    <w:t>處生輔組宣導事項</w:t>
                  </w:r>
                </w:p>
                <w:p w:rsidR="00FA45EA" w:rsidRPr="00FA45EA" w:rsidRDefault="00FA45EA" w:rsidP="00FA45EA">
                  <w:pPr>
                    <w:spacing w:line="320" w:lineRule="exact"/>
                    <w:rPr>
                      <w:rFonts w:ascii="微軟正黑體" w:eastAsia="微軟正黑體" w:hAnsi="微軟正黑體"/>
                      <w:szCs w:val="24"/>
                    </w:rPr>
                  </w:pPr>
                  <w:r w:rsidRPr="00FA45EA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高三同學</w:t>
                  </w:r>
                  <w:r w:rsidRPr="00FA45EA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無論是否已獲得推薦甄試申請錄取大學，如有「預定在家自行準備指定科目考試或準備大學入學事宜」者，請依學校「學生請假及外出規定」事前完成事假申請，並須附請假</w:t>
                  </w:r>
                  <w:proofErr w:type="gramStart"/>
                  <w:r w:rsidRPr="00FA45EA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假</w:t>
                  </w:r>
                  <w:proofErr w:type="gramEnd"/>
                  <w:r w:rsidRPr="00FA45EA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單及家長證明。按學校「學生請假及外出規定」出席考勤（5/23至6/9日合計13日）可依個人</w:t>
                  </w:r>
                  <w:proofErr w:type="gramStart"/>
                  <w:r w:rsidRPr="00FA45EA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需要全請或</w:t>
                  </w:r>
                  <w:proofErr w:type="gramEnd"/>
                  <w:r w:rsidRPr="00FA45EA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請期間所需之天數。另為確實管理高三在校同學出缺席狀況，風紀股長於上述期間如請假該班應選出一名代理同學（確實完成此段時間風紀工作者記小功乙次獎勵，未能善盡職責者檢討議處），各班風紀股長（或代理）名單請於5月10日前交至生輔組組長處。</w:t>
                  </w:r>
                </w:p>
              </w:txbxContent>
            </v:textbox>
          </v:shape>
        </w:pict>
      </w:r>
      <w:r w:rsidR="00931C30">
        <w:rPr>
          <w:rFonts w:ascii="華康楷書體W5" w:eastAsia="華康楷書體W5" w:hAnsi="標楷體"/>
          <w:color w:val="5F497A" w:themeColor="accent4" w:themeShade="BF"/>
        </w:rPr>
        <w:br w:type="page"/>
      </w:r>
    </w:p>
    <w:p w:rsidR="00F4409F" w:rsidRDefault="00303636" w:rsidP="00DF4867">
      <w:pPr>
        <w:spacing w:line="240" w:lineRule="exact"/>
      </w:pPr>
      <w:r>
        <w:rPr>
          <w:noProof/>
        </w:rPr>
        <w:lastRenderedPageBreak/>
        <w:pict>
          <v:shape id="_x0000_s1141" type="#_x0000_t202" style="position:absolute;margin-left:-54.85pt;margin-top:-37.5pt;width:539.35pt;height:768pt;z-index:251784192;mso-width-relative:margin;mso-height-relative:margin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此外，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過去社會倫理秩序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嚴明，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多數人自小養成溫馴、忍耐的個性，「現代人不僅較過去被允許發怒，各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階級間的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『發怒權利』也逐漸平等化，但是，表達憤怒的規則與界線卻沒有建立，公民社會的自我控制也不夠成熟，」關秉寅指出。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現代社會，子女可以對父母表達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憤怒，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員工也可以向老闆嗆聲。生悶氣的人少了，氣出來的人多了。然而眾人卻沒學會在表達憤怒時不作侮辱、挑釁行為；言語可以尖銳，卻不做人身攻擊。「我們的立法院與氾濫的政論性節目就是最壞的榜樣，」關秉寅指出。而這些公眾人物的言語暴力與行為，不僅是一種錯誤示範，也間接成為民眾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憤怒、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痛苦的來源之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一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。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除了整體社會的不安氛圍，現代人憤怒指數高昇，主要源於「個人必須面對的壓力比過去大，種類也複雜了許多。」諸如上班打卡、排隊、塞車、應徵工作、單親父母養育孩子等處境，都是過去農業社會少有的。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而在傳統家庭解構、人際疏離的現代社會裡，「多數時候，現代人又必須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一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個人獨自面對這些複雜的壓力」關秉寅表示。在許多憤怒的情境中，要是有一個朋友相伴、支持，心境自然容易轉化。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 w:rsidRPr="00765E0E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>肇因於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憤怒</w:t>
                  </w:r>
                  <w:r w:rsidRPr="00765E0E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>的暴力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根據美國學者統計，殺人案件有七成肇因於「細故」，而且多數為熟識對象，台灣大致相同。黃富源分析，這類凶殺案的發生基本上有六個步驟：加害人先是感到被威脅，進而將這種威脅解釋為對方的一種挑釁、侮辱行為，兩造當事人互相反擊、逐漸加溫，一旦再有旁觀者加以鼓譟，阻斷了雙方的退路，當事人於是開始暴力推打，最後要不是有一方認輸逃走，後悔莫及的悲劇就發生了。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「總歸來看，如何預防憤怒殺人事件，是一種情境處理，最重要的是改變認知、提高EQ，對事情多作正面解釋，」黃富源表示。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近年來，「憤怒管理」課程在美國大行其道，美國的司法系統經常會強迫犯人參加憤怒管理課程，例如美國拳王泰森就曾經被裁定參加。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在台北市立療養院精神科醫生郭豐榮的帶領下，一群家庭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暴力者圍成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一個圓圈坐下，新來的成員大多還懷著「不甘願」的情緒，不斷埋怨法官、社會的不公平，甚至揚言報復，總要藉著同伴的分享，經過一段時間才願意開始面對自己的問題。</w:t>
                  </w:r>
                </w:p>
                <w:p w:rsid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為了建立施暴者自我覺察的能力，每位施暴者開始回溯自己的憤怒過程，有位施暴者回想時發現，每次他和太太吵架，一開始太太回嘴時，他都還能理性溝通，接著慢慢失去耐性，先是坐不住，接著會焦躁得走來走去，然後「氣到腦中一片空白」，不論拿起什麼都往太太身上砸過去。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 w:rsidRPr="00765E0E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經由反覆的覺察，找到失控的關鍵點，他瞭解當自己開始坐不住時，就要往外走，以避開下一個失控的來臨。「憤怒管理是家庭暴力的急救藥方，」輔導過近五十位家庭暴力者的郭豐榮指出。</w:t>
                  </w:r>
                </w:p>
                <w:p w:rsid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 w:rsidRPr="00765E0E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憤怒失控的暴力犯罪案件頻傳，相較於「外射型」的施暴者，「還有一種『不會生氣』的憤怒者，同樣令人擔心，」呂旭亞表示。</w:t>
                  </w:r>
                  <w:r w:rsidRPr="00765E0E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>03</w:t>
                  </w:r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年在美國十分受歡迎的喜劇電影《抓狂訓練班》，飾演心理醫生的傑克</w:t>
                  </w:r>
                  <w:proofErr w:type="gramStart"/>
                  <w:r w:rsidRPr="00765E0E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>‧</w:t>
                  </w:r>
                  <w:proofErr w:type="gramEnd"/>
                  <w:r w:rsidRPr="00765E0E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尼克遜比喻，當一個情緒失控的人對著超商店員藉故挑釁、破口大罵，這是需要學習情緒管理的第一種人，而那一味接受客人無理咆哮卻不敢吭聲的店員，則是需要學習情緒管理的另一種人。</w:t>
                  </w:r>
                </w:p>
                <w:p w:rsidR="00765E0E" w:rsidRPr="00D968AD" w:rsidRDefault="00D968AD" w:rsidP="00D968AD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="00765E0E" w:rsidRPr="00D968AD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董氏基金會的憤怒調查也證實，面對</w:t>
                  </w:r>
                  <w:proofErr w:type="gramStart"/>
                  <w:r w:rsidR="00765E0E" w:rsidRPr="00D968AD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憤怒，</w:t>
                  </w:r>
                  <w:proofErr w:type="gramEnd"/>
                  <w:r w:rsidR="00765E0E" w:rsidRPr="00D968AD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多數民眾會選擇離開、逃避。然而這樣壓抑</w:t>
                  </w:r>
                  <w:proofErr w:type="gramStart"/>
                  <w:r w:rsidR="00765E0E" w:rsidRPr="00D968AD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憤怒、</w:t>
                  </w:r>
                  <w:proofErr w:type="gramEnd"/>
                  <w:r w:rsidR="00765E0E" w:rsidRPr="00D968AD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避免衝突的人，一旦壓力、憤怒的蓄水庫超過警戒線，所爆發的情緒洪水傷害力將極為驚人，甚至成為社會群體生活中的不定時炸彈。</w:t>
                  </w: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</w:p>
                <w:p w:rsidR="00765E0E" w:rsidRPr="00765E0E" w:rsidRDefault="00765E0E" w:rsidP="00765E0E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</w:p>
              </w:txbxContent>
            </v:textbox>
          </v:shape>
        </w:pict>
      </w:r>
      <w:r w:rsidR="00F4409F" w:rsidRPr="00F4409F">
        <w:t xml:space="preserve"> </w:t>
      </w:r>
    </w:p>
    <w:p w:rsidR="00F4409F" w:rsidRDefault="00F4409F">
      <w:pPr>
        <w:widowControl/>
      </w:pPr>
      <w:r>
        <w:br w:type="page"/>
      </w:r>
    </w:p>
    <w:p w:rsidR="009A5C07" w:rsidRDefault="00510DA3" w:rsidP="00DF4867">
      <w:pPr>
        <w:spacing w:line="240" w:lineRule="exact"/>
      </w:pPr>
      <w:r>
        <w:rPr>
          <w:noProof/>
        </w:rPr>
        <w:lastRenderedPageBreak/>
        <w:pict>
          <v:shape id="_x0000_s1146" type="#_x0000_t202" style="position:absolute;margin-left:-52.5pt;margin-top:533.25pt;width:519.75pt;height:171pt;z-index:251786240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146">
              <w:txbxContent>
                <w:p w:rsidR="00510DA3" w:rsidRPr="004910FE" w:rsidRDefault="00510DA3" w:rsidP="004910FE">
                  <w:pPr>
                    <w:widowControl/>
                    <w:spacing w:before="100" w:beforeAutospacing="1" w:after="100" w:afterAutospacing="1" w:line="400" w:lineRule="exact"/>
                    <w:rPr>
                      <w:rFonts w:ascii="微軟正黑體" w:eastAsia="微軟正黑體" w:hAnsi="微軟正黑體" w:cs="新細明體" w:hint="eastAsia"/>
                      <w:b/>
                      <w:color w:val="403152" w:themeColor="accent4" w:themeShade="80"/>
                      <w:spacing w:val="15"/>
                      <w:kern w:val="0"/>
                      <w:sz w:val="36"/>
                      <w:szCs w:val="36"/>
                    </w:rPr>
                  </w:pPr>
                  <w:r w:rsidRPr="004910FE">
                    <w:rPr>
                      <w:rFonts w:ascii="微軟正黑體" w:eastAsia="微軟正黑體" w:hAnsi="微軟正黑體" w:cs="新細明體" w:hint="eastAsia"/>
                      <w:b/>
                      <w:color w:val="403152" w:themeColor="accent4" w:themeShade="80"/>
                      <w:spacing w:val="15"/>
                      <w:kern w:val="0"/>
                      <w:sz w:val="36"/>
                      <w:szCs w:val="36"/>
                    </w:rPr>
                    <w:t>台北是貪吃之都？？？</w:t>
                  </w:r>
                </w:p>
                <w:p w:rsidR="00510DA3" w:rsidRPr="00510DA3" w:rsidRDefault="00510DA3" w:rsidP="00510DA3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510DA3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CNN的旅遊網站，最近以聖經中的七種原罪，一一點名亞洲的七個城市，其中台北被列為貪吃之都。文章中指出，台北有18條小吃街，空氣中還充滿臭豆腐的味道。不過這種西方宗教意識形態的批評，讓</w:t>
                  </w:r>
                  <w:hyperlink r:id="rId15" w:tooltip="台北市" w:history="1">
                    <w:r w:rsidRPr="00510DA3">
                      <w:rPr>
                        <w:rFonts w:ascii="微軟正黑體" w:eastAsia="微軟正黑體" w:hAnsi="微軟正黑體" w:cs="新細明體"/>
                        <w:spacing w:val="15"/>
                        <w:kern w:val="0"/>
                        <w:szCs w:val="24"/>
                      </w:rPr>
                      <w:t>台北市</w:t>
                    </w:r>
                  </w:hyperlink>
                  <w:r w:rsidRPr="00510DA3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民相當不服氣。民眾多半認為台北應是</w:t>
                  </w:r>
                  <w:hyperlink r:id="rId16" w:tooltip="美食" w:history="1">
                    <w:r w:rsidRPr="00510DA3">
                      <w:rPr>
                        <w:rFonts w:ascii="微軟正黑體" w:eastAsia="微軟正黑體" w:hAnsi="微軟正黑體" w:cs="新細明體"/>
                        <w:spacing w:val="15"/>
                        <w:kern w:val="0"/>
                        <w:szCs w:val="24"/>
                      </w:rPr>
                      <w:t>美食</w:t>
                    </w:r>
                  </w:hyperlink>
                  <w:r w:rsidRPr="00510DA3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天堂，而非貪吃之都。</w:t>
                  </w:r>
                </w:p>
                <w:p w:rsidR="00510DA3" w:rsidRPr="00510DA3" w:rsidRDefault="00510DA3" w:rsidP="00510DA3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510DA3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>這項評比除了將台北列為貪吃之都外，</w:t>
                  </w:r>
                  <w:proofErr w:type="gramStart"/>
                  <w:r w:rsidRPr="00510DA3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>南韓首爾則</w:t>
                  </w:r>
                  <w:proofErr w:type="gramEnd"/>
                  <w:r w:rsidRPr="00510DA3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>是因網路遊戲產業太發達被列為懶惰之都，日本東京是</w:t>
                  </w:r>
                  <w:proofErr w:type="gramStart"/>
                  <w:r w:rsidRPr="00510DA3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>因情色產業</w:t>
                  </w:r>
                  <w:proofErr w:type="gramEnd"/>
                  <w:r w:rsidRPr="00510DA3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>興盛被列為慾望之都，北韓的平壤更是因領導人金正日的鐵腕統治，被列為憤怒之都，和台北的貪吃之都相比，這些城市的居民恐怕更加無法接受。</w:t>
                  </w:r>
                </w:p>
                <w:p w:rsidR="00510DA3" w:rsidRPr="00510DA3" w:rsidRDefault="00510DA3" w:rsidP="00510DA3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</w:p>
                <w:p w:rsidR="00510DA3" w:rsidRPr="00510DA3" w:rsidRDefault="00510DA3" w:rsidP="00510DA3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</w:p>
              </w:txbxContent>
            </v:textbox>
          </v:shape>
        </w:pict>
      </w:r>
      <w:r w:rsidR="00303636">
        <w:rPr>
          <w:noProof/>
        </w:rPr>
        <w:pict>
          <v:shape id="_x0000_s1142" type="#_x0000_t202" style="position:absolute;margin-left:-52.5pt;margin-top:-52.5pt;width:519.75pt;height:558.75pt;z-index:251785216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236161" w:rsidRPr="00236161" w:rsidRDefault="00236161" w:rsidP="00236161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 w:rsidRPr="00236161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做過許多受暴婦女諮商的呂旭立紀念文教基金會諮商師劉同雪發現，受暴婦女在諮商師希望她們打枕頭發洩時，儘管心中有諸多</w:t>
                  </w:r>
                  <w:proofErr w:type="gramStart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憤怒，</w:t>
                  </w:r>
                  <w:proofErr w:type="gramEnd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她們仍然打不出手，有的婦女在無法對外表達憤怒下，轉而以</w:t>
                  </w:r>
                  <w:proofErr w:type="gramStart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自傷來報復</w:t>
                  </w:r>
                  <w:proofErr w:type="gramEnd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施暴者，甚而走上自殺的絕路，有時候還自私</w:t>
                  </w:r>
                  <w:proofErr w:type="gramStart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地帶著</w:t>
                  </w:r>
                  <w:proofErr w:type="gramEnd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孩子一起走。</w:t>
                  </w:r>
                </w:p>
                <w:p w:rsidR="00236161" w:rsidRPr="00236161" w:rsidRDefault="00236161" w:rsidP="00236161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 w:rsidRPr="00236161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不論是外射殺人或壓抑自傷，如何減少憤怒殺人悲劇的發生，關秉寅認為，首先是基礎性情緒教育的提升，再來是社會福利制度必須完善，包括失業救濟、技能培養、功能失調家庭的輔導等，在</w:t>
                  </w:r>
                  <w:proofErr w:type="gramStart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在</w:t>
                  </w:r>
                  <w:proofErr w:type="gramEnd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需要加強。</w:t>
                  </w:r>
                </w:p>
                <w:p w:rsidR="00236161" w:rsidRPr="00236161" w:rsidRDefault="00236161" w:rsidP="00236161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 w:rsidRPr="00236161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proofErr w:type="gramStart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此外，</w:t>
                  </w:r>
                  <w:proofErr w:type="gramEnd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防禦型的通報系統也是防止悲劇發生的一道重要門戶。在台灣，目前只有家庭暴力防治法中有所謂的「加害人處遇」，當家庭暴力發生時，經由警察、家暴中心、法院與醫院形成一個完整的通報系統。法官</w:t>
                  </w:r>
                  <w:proofErr w:type="gramStart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可以視施暴</w:t>
                  </w:r>
                  <w:proofErr w:type="gramEnd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者的暴力程度，強迫他接受心理諮商，依照保護令一到兩年的時限，進行輔導。</w:t>
                  </w:r>
                </w:p>
                <w:p w:rsidR="00236161" w:rsidRPr="00236161" w:rsidRDefault="00236161" w:rsidP="00236161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 w:rsidRPr="00236161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　</w:t>
                  </w:r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關秉寅更進一步希望社會大力推廣社團活動與加強社區功能，因為可以「減少個人與憤怒單打獨鬥的『孤獨感』，」關秉寅認為，這也是一種避免悲劇發生的防衛機制。</w:t>
                  </w:r>
                </w:p>
                <w:p w:rsidR="00236161" w:rsidRPr="00236161" w:rsidRDefault="00236161" w:rsidP="00236161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b/>
                      <w:spacing w:val="15"/>
                      <w:kern w:val="0"/>
                      <w:szCs w:val="24"/>
                    </w:rPr>
                  </w:pPr>
                  <w:r w:rsidRPr="00236161">
                    <w:rPr>
                      <w:rFonts w:ascii="微軟正黑體" w:eastAsia="微軟正黑體" w:hAnsi="微軟正黑體" w:cs="新細明體"/>
                      <w:b/>
                      <w:spacing w:val="15"/>
                      <w:kern w:val="0"/>
                      <w:szCs w:val="24"/>
                    </w:rPr>
                    <w:t>情緒教育從頭做起</w:t>
                  </w:r>
                </w:p>
                <w:p w:rsidR="00236161" w:rsidRPr="00236161" w:rsidRDefault="00236161" w:rsidP="00236161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 w:rsidRPr="00236161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</w:t>
                  </w:r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不論是社會學者、心理醫生或犯罪專家，都一致肯定情緒教育的重要。然而，根據中央研究院民族所副研究員葉光輝的研究，面對孩子的負面情緒，父母有四種典型：一是教導型，二是不干涉型，三是摒除型，四是失控型。而中國的父母以「摒除型」居多，對於孩子的負面情緒十分敏感，態度上卻是拒絕接受。一旦孩子有生氣、發怒或哭泣，就會專制地要求孩子：「生什麼氣？」、「閉嘴」、「再吵就揍人」，要孩子趕快去除這些負面情緒。</w:t>
                  </w:r>
                </w:p>
                <w:p w:rsidR="00236161" w:rsidRPr="00236161" w:rsidRDefault="00236161" w:rsidP="00236161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 w:rsidRPr="00236161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</w:t>
                  </w:r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在一份青少年的憤怒研究中也發現，父母和孩子的交談，大多侷限在課業上，關於「為人處事方面」的話題相對不足，多數青少年無法具體表達心中的委屈和難過，而直接以憤怒</w:t>
                  </w:r>
                  <w:proofErr w:type="gramStart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來作</w:t>
                  </w:r>
                  <w:proofErr w:type="gramEnd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為反應。</w:t>
                  </w:r>
                </w:p>
                <w:p w:rsidR="00236161" w:rsidRPr="00236161" w:rsidRDefault="00236161" w:rsidP="00236161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 w:rsidRPr="00236161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</w:t>
                  </w:r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「即使孩子考試一百分，EQ零分，人生依然是零分，」以講故事來進行情緒教育的台北縣北新國小故事媽媽宋文玲表示。現代父母對於孩子的情緒教養其實都深切感悟其重要性，進而反求諸己，只是父母本身從來也沒有真正瞭解或面對過自己的情緒，又如何能精確解讀孩子的情緒？「我們也是跟著孩子在同步練習，重新學習呢！」北新故事媽媽小組長蔡憶萍表示。</w:t>
                  </w:r>
                </w:p>
                <w:p w:rsidR="00236161" w:rsidRPr="00236161" w:rsidRDefault="00236161" w:rsidP="00236161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  <w:r w:rsidRPr="00236161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　</w:t>
                  </w:r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夏日蟬鳴聲起，盛暑</w:t>
                  </w:r>
                  <w:proofErr w:type="gramStart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溽</w:t>
                  </w:r>
                  <w:proofErr w:type="gramEnd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氣中，如何</w:t>
                  </w:r>
                  <w:proofErr w:type="gramStart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觀照憤怒，</w:t>
                  </w:r>
                  <w:proofErr w:type="gramEnd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不隨之起舞，讓心田開出一朵</w:t>
                  </w:r>
                  <w:proofErr w:type="gramStart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朵</w:t>
                  </w:r>
                  <w:proofErr w:type="gramEnd"/>
                  <w:r w:rsidRPr="00236161"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  <w:t>不沾火氣的蓮花，將是生命最美的風景。</w:t>
                  </w:r>
                  <w:r w:rsidR="00510DA3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 xml:space="preserve">            </w:t>
                  </w:r>
                  <w:r w:rsidR="00510DA3" w:rsidRPr="00510DA3">
                    <w:rPr>
                      <w:rFonts w:ascii="微軟正黑體" w:eastAsia="微軟正黑體" w:hAnsi="微軟正黑體" w:cs="新細明體" w:hint="eastAsia"/>
                      <w:spacing w:val="15"/>
                      <w:kern w:val="0"/>
                      <w:szCs w:val="24"/>
                    </w:rPr>
                    <w:t>(轉自台灣光華雜誌2004年7月)</w:t>
                  </w:r>
                </w:p>
                <w:p w:rsidR="00236161" w:rsidRPr="00236161" w:rsidRDefault="00236161" w:rsidP="00236161">
                  <w:pPr>
                    <w:widowControl/>
                    <w:spacing w:before="100" w:beforeAutospacing="1" w:after="100" w:afterAutospacing="1" w:line="280" w:lineRule="exact"/>
                    <w:rPr>
                      <w:rFonts w:ascii="微軟正黑體" w:eastAsia="微軟正黑體" w:hAnsi="微軟正黑體" w:cs="新細明體"/>
                      <w:spacing w:val="15"/>
                      <w:kern w:val="0"/>
                      <w:szCs w:val="24"/>
                    </w:rPr>
                  </w:pPr>
                </w:p>
              </w:txbxContent>
            </v:textbox>
          </v:shape>
        </w:pict>
      </w:r>
    </w:p>
    <w:sectPr w:rsidR="009A5C07" w:rsidSect="0003460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E30" w:rsidRDefault="00495E30" w:rsidP="000E37BB">
      <w:r>
        <w:separator/>
      </w:r>
    </w:p>
  </w:endnote>
  <w:endnote w:type="continuationSeparator" w:id="0">
    <w:p w:rsidR="00495E30" w:rsidRDefault="00495E30" w:rsidP="000E3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gLiU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wTeX 粗黑體">
    <w:altName w:val="Arial Unicode MS"/>
    <w:charset w:val="88"/>
    <w:family w:val="modern"/>
    <w:pitch w:val="fixed"/>
    <w:sig w:usb0="00000000" w:usb1="79DF7CFB" w:usb2="00000016" w:usb3="00000000" w:csb0="803E000D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楷書體W5">
    <w:altName w:val="新細明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75" w:rsidRDefault="002F4D7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75" w:rsidRDefault="002F4D7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75" w:rsidRDefault="002F4D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E30" w:rsidRDefault="00495E30" w:rsidP="000E37BB">
      <w:r>
        <w:separator/>
      </w:r>
    </w:p>
  </w:footnote>
  <w:footnote w:type="continuationSeparator" w:id="0">
    <w:p w:rsidR="00495E30" w:rsidRDefault="00495E30" w:rsidP="000E3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75" w:rsidRDefault="002F4D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75" w:rsidRDefault="002F4D75" w:rsidP="002F4D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75" w:rsidRDefault="002F4D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33D19"/>
    <w:multiLevelType w:val="hybridMultilevel"/>
    <w:tmpl w:val="15862A88"/>
    <w:lvl w:ilvl="0" w:tplc="31701E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6018">
      <o:colormru v:ext="edit" colors="#5f497a"/>
      <o:colormenu v:ext="edit" fillcolor="none [2407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145"/>
    <w:rsid w:val="000019B2"/>
    <w:rsid w:val="00015ADC"/>
    <w:rsid w:val="00017C36"/>
    <w:rsid w:val="00023EE8"/>
    <w:rsid w:val="00034607"/>
    <w:rsid w:val="00040A0A"/>
    <w:rsid w:val="00045317"/>
    <w:rsid w:val="000462D2"/>
    <w:rsid w:val="0004713F"/>
    <w:rsid w:val="00060096"/>
    <w:rsid w:val="000A14D1"/>
    <w:rsid w:val="000A1A7A"/>
    <w:rsid w:val="000A535E"/>
    <w:rsid w:val="000D6853"/>
    <w:rsid w:val="000E37BB"/>
    <w:rsid w:val="000F5956"/>
    <w:rsid w:val="000F7E33"/>
    <w:rsid w:val="001346DC"/>
    <w:rsid w:val="00147C61"/>
    <w:rsid w:val="00156103"/>
    <w:rsid w:val="00174261"/>
    <w:rsid w:val="00184B0D"/>
    <w:rsid w:val="001B3BCD"/>
    <w:rsid w:val="001C0685"/>
    <w:rsid w:val="001E79E0"/>
    <w:rsid w:val="001F081A"/>
    <w:rsid w:val="001F7A06"/>
    <w:rsid w:val="00206313"/>
    <w:rsid w:val="00211868"/>
    <w:rsid w:val="00236161"/>
    <w:rsid w:val="00241AB6"/>
    <w:rsid w:val="00244291"/>
    <w:rsid w:val="00263894"/>
    <w:rsid w:val="00272A86"/>
    <w:rsid w:val="00275A4D"/>
    <w:rsid w:val="002B3DF9"/>
    <w:rsid w:val="002C369B"/>
    <w:rsid w:val="002F4D75"/>
    <w:rsid w:val="00303636"/>
    <w:rsid w:val="00325A7F"/>
    <w:rsid w:val="00382C4F"/>
    <w:rsid w:val="00394FCF"/>
    <w:rsid w:val="003C3539"/>
    <w:rsid w:val="003C53DD"/>
    <w:rsid w:val="003E1738"/>
    <w:rsid w:val="004166BF"/>
    <w:rsid w:val="00446F47"/>
    <w:rsid w:val="00480438"/>
    <w:rsid w:val="004910FE"/>
    <w:rsid w:val="00495CD2"/>
    <w:rsid w:val="00495E30"/>
    <w:rsid w:val="004E1994"/>
    <w:rsid w:val="00510DA3"/>
    <w:rsid w:val="00531D41"/>
    <w:rsid w:val="00537BC2"/>
    <w:rsid w:val="005605A0"/>
    <w:rsid w:val="00572E6B"/>
    <w:rsid w:val="005F6092"/>
    <w:rsid w:val="00600659"/>
    <w:rsid w:val="00601281"/>
    <w:rsid w:val="00604056"/>
    <w:rsid w:val="006114F2"/>
    <w:rsid w:val="00665CB4"/>
    <w:rsid w:val="006B06D1"/>
    <w:rsid w:val="006B2145"/>
    <w:rsid w:val="006B2BF4"/>
    <w:rsid w:val="006B7297"/>
    <w:rsid w:val="00724F71"/>
    <w:rsid w:val="0073014C"/>
    <w:rsid w:val="0075284D"/>
    <w:rsid w:val="00761DFB"/>
    <w:rsid w:val="00765E0E"/>
    <w:rsid w:val="00770D16"/>
    <w:rsid w:val="00772ACF"/>
    <w:rsid w:val="00773FC4"/>
    <w:rsid w:val="00792437"/>
    <w:rsid w:val="00794C13"/>
    <w:rsid w:val="007A3732"/>
    <w:rsid w:val="007B7E38"/>
    <w:rsid w:val="007C2022"/>
    <w:rsid w:val="0080699C"/>
    <w:rsid w:val="00806F0D"/>
    <w:rsid w:val="00813D81"/>
    <w:rsid w:val="008222F4"/>
    <w:rsid w:val="00833E23"/>
    <w:rsid w:val="0083443C"/>
    <w:rsid w:val="008430B8"/>
    <w:rsid w:val="008C4FA7"/>
    <w:rsid w:val="008D6F7F"/>
    <w:rsid w:val="008E7C52"/>
    <w:rsid w:val="00907D52"/>
    <w:rsid w:val="009131C1"/>
    <w:rsid w:val="00917230"/>
    <w:rsid w:val="00931C30"/>
    <w:rsid w:val="00952480"/>
    <w:rsid w:val="0095435F"/>
    <w:rsid w:val="00966FA7"/>
    <w:rsid w:val="00967840"/>
    <w:rsid w:val="0097272E"/>
    <w:rsid w:val="009869F5"/>
    <w:rsid w:val="009A5C07"/>
    <w:rsid w:val="009B0010"/>
    <w:rsid w:val="009F23E7"/>
    <w:rsid w:val="00A00C59"/>
    <w:rsid w:val="00A247AC"/>
    <w:rsid w:val="00A2736F"/>
    <w:rsid w:val="00A46FEF"/>
    <w:rsid w:val="00A64F7D"/>
    <w:rsid w:val="00A92A23"/>
    <w:rsid w:val="00AC06E9"/>
    <w:rsid w:val="00AC591A"/>
    <w:rsid w:val="00AE1A99"/>
    <w:rsid w:val="00AE2983"/>
    <w:rsid w:val="00AE5A9C"/>
    <w:rsid w:val="00B123B6"/>
    <w:rsid w:val="00B17D41"/>
    <w:rsid w:val="00B20055"/>
    <w:rsid w:val="00B32113"/>
    <w:rsid w:val="00B51239"/>
    <w:rsid w:val="00B7134B"/>
    <w:rsid w:val="00B72B1B"/>
    <w:rsid w:val="00BC4BF8"/>
    <w:rsid w:val="00C12635"/>
    <w:rsid w:val="00C1336C"/>
    <w:rsid w:val="00C74C3E"/>
    <w:rsid w:val="00C837C3"/>
    <w:rsid w:val="00C847A6"/>
    <w:rsid w:val="00D01C74"/>
    <w:rsid w:val="00D03E4E"/>
    <w:rsid w:val="00D201C5"/>
    <w:rsid w:val="00D56B30"/>
    <w:rsid w:val="00D633D4"/>
    <w:rsid w:val="00D968AD"/>
    <w:rsid w:val="00D977EA"/>
    <w:rsid w:val="00DA274B"/>
    <w:rsid w:val="00DE1EA0"/>
    <w:rsid w:val="00DF4867"/>
    <w:rsid w:val="00E25BCF"/>
    <w:rsid w:val="00E415D7"/>
    <w:rsid w:val="00E676ED"/>
    <w:rsid w:val="00E81E2E"/>
    <w:rsid w:val="00EA36B3"/>
    <w:rsid w:val="00EA7A5F"/>
    <w:rsid w:val="00EF31A4"/>
    <w:rsid w:val="00F07721"/>
    <w:rsid w:val="00F134D1"/>
    <w:rsid w:val="00F27F2D"/>
    <w:rsid w:val="00F4409F"/>
    <w:rsid w:val="00F622BD"/>
    <w:rsid w:val="00F66FF1"/>
    <w:rsid w:val="00F71132"/>
    <w:rsid w:val="00FA0180"/>
    <w:rsid w:val="00FA45EA"/>
    <w:rsid w:val="00FD0B67"/>
    <w:rsid w:val="00FF1BA8"/>
    <w:rsid w:val="00FF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>
      <o:colormru v:ext="edit" colors="#5f497a"/>
      <o:colormenu v:ext="edit" fillcolor="none [2407]" strokecolor="none"/>
    </o:shapedefaults>
    <o:shapelayout v:ext="edit">
      <o:idmap v:ext="edit" data="1"/>
      <o:rules v:ext="edit">
        <o:r id="V:Rule2" type="connector" idref="#_x0000_s1042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07"/>
    <w:pPr>
      <w:widowControl w:val="0"/>
    </w:pPr>
  </w:style>
  <w:style w:type="paragraph" w:styleId="3">
    <w:name w:val="heading 3"/>
    <w:basedOn w:val="a"/>
    <w:link w:val="30"/>
    <w:uiPriority w:val="9"/>
    <w:qFormat/>
    <w:rsid w:val="0023616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B21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E3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E37B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E3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E37BB"/>
    <w:rPr>
      <w:sz w:val="20"/>
      <w:szCs w:val="20"/>
    </w:rPr>
  </w:style>
  <w:style w:type="paragraph" w:styleId="a9">
    <w:name w:val="List Paragraph"/>
    <w:basedOn w:val="a"/>
    <w:qFormat/>
    <w:rsid w:val="000E37BB"/>
    <w:pPr>
      <w:ind w:leftChars="200" w:left="480"/>
    </w:pPr>
  </w:style>
  <w:style w:type="paragraph" w:styleId="Web">
    <w:name w:val="Normal (Web)"/>
    <w:basedOn w:val="a"/>
    <w:uiPriority w:val="99"/>
    <w:unhideWhenUsed/>
    <w:rsid w:val="000E37BB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size1">
    <w:name w:val="textsize1"/>
    <w:basedOn w:val="a0"/>
    <w:rsid w:val="00AC06E9"/>
    <w:rPr>
      <w:sz w:val="14"/>
      <w:szCs w:val="14"/>
    </w:rPr>
  </w:style>
  <w:style w:type="table" w:styleId="aa">
    <w:name w:val="Table Grid"/>
    <w:basedOn w:val="a1"/>
    <w:rsid w:val="00FD0B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272A86"/>
    <w:pPr>
      <w:suppressAutoHyphens/>
      <w:spacing w:after="120"/>
    </w:pPr>
    <w:rPr>
      <w:rFonts w:ascii="Times New Roman" w:eastAsia="MingLiU" w:hAnsi="Times New Roman" w:cs="Times New Roman"/>
      <w:kern w:val="0"/>
      <w:szCs w:val="24"/>
    </w:rPr>
  </w:style>
  <w:style w:type="character" w:customStyle="1" w:styleId="ac">
    <w:name w:val="本文 字元"/>
    <w:basedOn w:val="a0"/>
    <w:link w:val="ab"/>
    <w:rsid w:val="00272A86"/>
    <w:rPr>
      <w:rFonts w:ascii="Times New Roman" w:eastAsia="MingLiU" w:hAnsi="Times New Roman" w:cs="Times New Roman"/>
      <w:kern w:val="0"/>
      <w:szCs w:val="24"/>
    </w:rPr>
  </w:style>
  <w:style w:type="character" w:styleId="ad">
    <w:name w:val="Hyperlink"/>
    <w:basedOn w:val="a0"/>
    <w:uiPriority w:val="99"/>
    <w:rsid w:val="00174261"/>
    <w:rPr>
      <w:color w:val="0000FF"/>
      <w:u w:val="single"/>
    </w:rPr>
  </w:style>
  <w:style w:type="table" w:styleId="-4">
    <w:name w:val="Light Shading Accent 4"/>
    <w:basedOn w:val="a1"/>
    <w:uiPriority w:val="60"/>
    <w:rsid w:val="00B20055"/>
    <w:rPr>
      <w:rFonts w:ascii="Calibri" w:eastAsia="新細明體" w:hAnsi="Calibri" w:cs="Times New Roman"/>
      <w:color w:val="5F497A" w:themeColor="accent4" w:themeShade="BF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4">
    <w:name w:val="Medium Shading 1 Accent 4"/>
    <w:basedOn w:val="a1"/>
    <w:uiPriority w:val="63"/>
    <w:rsid w:val="007C2022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0">
    <w:name w:val="Light Grid Accent 4"/>
    <w:basedOn w:val="a1"/>
    <w:uiPriority w:val="62"/>
    <w:rsid w:val="007C202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ae">
    <w:name w:val="Strong"/>
    <w:basedOn w:val="a0"/>
    <w:qFormat/>
    <w:rsid w:val="00DF4867"/>
    <w:rPr>
      <w:b/>
      <w:bCs/>
    </w:rPr>
  </w:style>
  <w:style w:type="character" w:customStyle="1" w:styleId="30">
    <w:name w:val="標題 3 字元"/>
    <w:basedOn w:val="a0"/>
    <w:link w:val="3"/>
    <w:uiPriority w:val="9"/>
    <w:rsid w:val="00236161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01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499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9086">
                  <w:marLeft w:val="75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3769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9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5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7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8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6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15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15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8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109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433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8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95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835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52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82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50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2278">
                  <w:marLeft w:val="75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tw.news.yahoo.com/article/url/d/a/110504/142/?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w.news.yahoo.com/article/url/d/a/110504/142/?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D30D-5223-405B-AF2C-3BD6C831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武陵高中學務處</cp:lastModifiedBy>
  <cp:revision>9</cp:revision>
  <cp:lastPrinted>2011-04-06T04:34:00Z</cp:lastPrinted>
  <dcterms:created xsi:type="dcterms:W3CDTF">2011-05-04T01:12:00Z</dcterms:created>
  <dcterms:modified xsi:type="dcterms:W3CDTF">2011-05-04T04:48:00Z</dcterms:modified>
</cp:coreProperties>
</file>